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2 начиная с 1 февраля 2025</w:t>
      </w:r>
    </w:p>
    <w:p>
      <w:pPr>
        <w:pStyle w:val="Heading2"/>
      </w:pPr>
      <w:r>
        <w:rPr/>
        <w:t xml:space="preserve">Быстрый онлайн расчет графика работы 4/2</w:t>
      </w:r>
    </w:p>
    <w:p>
      <w:pPr/>
      <w:r>
        <w:rPr/>
        <w:t xml:space="preserve">Наш сервис поможет вам удобно рассчитать график сменности 4/2,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244</w:t>
      </w:r>
      <w:br/>
      <w:r>
        <w:rPr/>
        <w:t xml:space="preserve">Всего рабочих часов: 2440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https://prostosmena.ru/schedule/eb4de7b45ce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4/2?</w:t>
      </w:r>
    </w:p>
    <w:p>
      <w:pPr/>
      <w:r>
        <w:rPr/>
        <w:t xml:space="preserve">Рабочий график 4/2 предполагает цикличность рабочих дней и выходных. Работник трудится четыре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265E3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81C03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eb4de7b45ce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2025-03-14T15:14:22+00:00</dcterms:created>
  <dcterms:modified xsi:type="dcterms:W3CDTF">2025-03-14T15:14:22+00:00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