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1 начиная с 23 мая 2025</w:t>
      </w:r>
    </w:p>
    <w:p>
      <w:pPr>
        <w:pStyle w:val="Heading2"/>
      </w:pPr>
      <w:r>
        <w:rPr/>
        <w:t xml:space="preserve">Быстрый онлайн расчет графика работы 3/1</w:t>
      </w:r>
    </w:p>
    <w:p>
      <w:pPr/>
      <w:r>
        <w:rPr/>
        <w:t xml:space="preserve">Наш сервис поможет вам удобно рассчитать график сменности 3/1,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5 смен в этом месяце</w:t>
            </w:r>
            <w:br/>
            <w:r>
              <w:rPr/>
              <w:t xml:space="preserve">      55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173</w:t>
      </w:r>
      <w:br/>
      <w:r>
        <w:rPr/>
        <w:t xml:space="preserve">Всего рабочих часов: 1903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https://prostosmena.ru/schedule/69b6356dee3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3/1?</w:t>
      </w:r>
    </w:p>
    <w:p>
      <w:pPr/>
      <w:r>
        <w:rPr/>
        <w:t xml:space="preserve">Рабочий график 3/1 предполагает цикличность рабочих дней и выходных. Работник трудится три дня,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ECB8D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B3DF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9b6356dee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2025-06-02T17:48:12+00:00</dcterms:created>
  <dcterms:modified xsi:type="dcterms:W3CDTF">2025-06-02T17:48:12+00:00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